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5B" w:rsidRDefault="00CD0B5B">
      <w:pPr>
        <w:pStyle w:val="ConsPlusTitlePage"/>
      </w:pPr>
      <w:r>
        <w:br/>
      </w:r>
    </w:p>
    <w:p w:rsidR="00CD0B5B" w:rsidRDefault="00CD0B5B">
      <w:pPr>
        <w:pStyle w:val="ConsPlusNormal"/>
        <w:jc w:val="both"/>
        <w:outlineLvl w:val="0"/>
      </w:pPr>
    </w:p>
    <w:p w:rsidR="00CD0B5B" w:rsidRDefault="00CD0B5B">
      <w:pPr>
        <w:pStyle w:val="ConsPlusTitle"/>
        <w:jc w:val="center"/>
      </w:pPr>
      <w:r>
        <w:t>ПРАВИТЕЛЬСТВО РОССИЙСКОЙ ФЕДЕРАЦИИ</w:t>
      </w:r>
    </w:p>
    <w:p w:rsidR="00CD0B5B" w:rsidRDefault="00CD0B5B">
      <w:pPr>
        <w:pStyle w:val="ConsPlusTitle"/>
        <w:jc w:val="center"/>
      </w:pPr>
    </w:p>
    <w:p w:rsidR="00CD0B5B" w:rsidRDefault="00CD0B5B">
      <w:pPr>
        <w:pStyle w:val="ConsPlusTitle"/>
        <w:jc w:val="center"/>
      </w:pPr>
      <w:r>
        <w:t>ПОСТАНОВЛЕНИЕ</w:t>
      </w:r>
    </w:p>
    <w:p w:rsidR="00CD0B5B" w:rsidRDefault="00CD0B5B">
      <w:pPr>
        <w:pStyle w:val="ConsPlusTitle"/>
        <w:jc w:val="center"/>
      </w:pPr>
      <w:r>
        <w:t>от 17 июня 2010 г. N 454</w:t>
      </w:r>
    </w:p>
    <w:p w:rsidR="00CD0B5B" w:rsidRDefault="00CD0B5B">
      <w:pPr>
        <w:pStyle w:val="ConsPlusTitle"/>
        <w:jc w:val="center"/>
      </w:pPr>
    </w:p>
    <w:p w:rsidR="00CD0B5B" w:rsidRDefault="00CD0B5B">
      <w:pPr>
        <w:pStyle w:val="ConsPlusTitle"/>
        <w:jc w:val="center"/>
      </w:pPr>
      <w:r>
        <w:t>О ДОПОЛНИТЕЛЬНЫХ ОГРАНИЧЕНИЯХ</w:t>
      </w:r>
    </w:p>
    <w:p w:rsidR="00CD0B5B" w:rsidRDefault="00CD0B5B">
      <w:pPr>
        <w:pStyle w:val="ConsPlusTitle"/>
        <w:jc w:val="center"/>
      </w:pPr>
      <w:r>
        <w:t>НА ИНВЕСТИРОВАНИЕ НАКОПЛЕНИЙ ДЛЯ ЖИЛИЩНОГО ОБЕСПЕЧЕНИЯ</w:t>
      </w:r>
    </w:p>
    <w:p w:rsidR="00CD0B5B" w:rsidRDefault="00CD0B5B">
      <w:pPr>
        <w:pStyle w:val="ConsPlusTitle"/>
        <w:jc w:val="center"/>
      </w:pPr>
      <w:r>
        <w:t xml:space="preserve">ВОЕННОСЛУЖАЩИХ И МАКСИМАЛЬНЫХ ДОЛЯХ В </w:t>
      </w:r>
      <w:proofErr w:type="gramStart"/>
      <w:r>
        <w:t>СОВОКУПНОМ</w:t>
      </w:r>
      <w:proofErr w:type="gramEnd"/>
    </w:p>
    <w:p w:rsidR="00CD0B5B" w:rsidRDefault="00CD0B5B">
      <w:pPr>
        <w:pStyle w:val="ConsPlusTitle"/>
        <w:jc w:val="center"/>
      </w:pPr>
      <w:r>
        <w:t xml:space="preserve">ИНВЕСТИЦИОННОМ </w:t>
      </w:r>
      <w:proofErr w:type="gramStart"/>
      <w:r>
        <w:t>ПОРТФЕЛЕ</w:t>
      </w:r>
      <w:proofErr w:type="gramEnd"/>
      <w:r>
        <w:t xml:space="preserve"> ОТДЕЛЬНЫХ КЛАССОВ АКТИВОВ</w:t>
      </w:r>
    </w:p>
    <w:p w:rsidR="00CD0B5B" w:rsidRDefault="00CD0B5B">
      <w:pPr>
        <w:pStyle w:val="ConsPlusNormal"/>
        <w:jc w:val="center"/>
      </w:pPr>
    </w:p>
    <w:p w:rsidR="00CD0B5B" w:rsidRDefault="00CD0B5B">
      <w:pPr>
        <w:pStyle w:val="ConsPlusNormal"/>
        <w:jc w:val="center"/>
      </w:pPr>
      <w:r>
        <w:t xml:space="preserve"> </w:t>
      </w:r>
      <w:proofErr w:type="gramStart"/>
      <w:r>
        <w:t xml:space="preserve">(в ред. Постановлений Правительства РФ от 26.08.2013 </w:t>
      </w:r>
      <w:hyperlink r:id="rId5" w:history="1">
        <w:r>
          <w:rPr>
            <w:color w:val="0000FF"/>
          </w:rPr>
          <w:t>N 739</w:t>
        </w:r>
      </w:hyperlink>
      <w:r>
        <w:t>,</w:t>
      </w:r>
      <w:proofErr w:type="gramEnd"/>
    </w:p>
    <w:p w:rsidR="00CD0B5B" w:rsidRDefault="00CD0B5B">
      <w:pPr>
        <w:pStyle w:val="ConsPlusNormal"/>
        <w:jc w:val="center"/>
      </w:pPr>
      <w:r>
        <w:t xml:space="preserve">от 04.04.2014 </w:t>
      </w:r>
      <w:hyperlink r:id="rId6" w:history="1">
        <w:r>
          <w:rPr>
            <w:color w:val="0000FF"/>
          </w:rPr>
          <w:t>N 264</w:t>
        </w:r>
      </w:hyperlink>
      <w:r>
        <w:t xml:space="preserve">, от 26.12.2014 </w:t>
      </w:r>
      <w:hyperlink r:id="rId7" w:history="1">
        <w:r>
          <w:rPr>
            <w:color w:val="0000FF"/>
          </w:rPr>
          <w:t>N 1496</w:t>
        </w:r>
      </w:hyperlink>
      <w:r>
        <w:t xml:space="preserve">, от 17.03.2015 </w:t>
      </w:r>
      <w:hyperlink r:id="rId8" w:history="1">
        <w:r>
          <w:rPr>
            <w:color w:val="0000FF"/>
          </w:rPr>
          <w:t>N 233</w:t>
        </w:r>
      </w:hyperlink>
      <w:r>
        <w:t>,</w:t>
      </w:r>
    </w:p>
    <w:p w:rsidR="00CD0B5B" w:rsidRDefault="00CD0B5B">
      <w:pPr>
        <w:pStyle w:val="ConsPlusNormal"/>
        <w:jc w:val="center"/>
      </w:pPr>
      <w:r>
        <w:t xml:space="preserve">от 11.04.2015 </w:t>
      </w:r>
      <w:hyperlink r:id="rId9" w:history="1">
        <w:r>
          <w:rPr>
            <w:color w:val="0000FF"/>
          </w:rPr>
          <w:t>N 348</w:t>
        </w:r>
      </w:hyperlink>
      <w:r>
        <w:t xml:space="preserve">, от 22.04.2015 </w:t>
      </w:r>
      <w:hyperlink r:id="rId10" w:history="1">
        <w:r>
          <w:rPr>
            <w:color w:val="0000FF"/>
          </w:rPr>
          <w:t>N 384</w:t>
        </w:r>
      </w:hyperlink>
      <w:r>
        <w:t>)</w:t>
      </w:r>
    </w:p>
    <w:p w:rsidR="00CD0B5B" w:rsidRDefault="00CD0B5B">
      <w:pPr>
        <w:pStyle w:val="ConsPlusNormal"/>
        <w:ind w:firstLine="540"/>
        <w:jc w:val="both"/>
      </w:pPr>
    </w:p>
    <w:p w:rsidR="00CD0B5B" w:rsidRDefault="00CD0B5B">
      <w:pPr>
        <w:pStyle w:val="ConsPlusNormal"/>
        <w:ind w:firstLine="540"/>
        <w:jc w:val="both"/>
      </w:pPr>
      <w:r>
        <w:t xml:space="preserve">В соответствии со </w:t>
      </w:r>
      <w:hyperlink r:id="rId11" w:history="1">
        <w:r>
          <w:rPr>
            <w:color w:val="0000FF"/>
          </w:rPr>
          <w:t>статьями 16</w:t>
        </w:r>
      </w:hyperlink>
      <w:r>
        <w:t xml:space="preserve"> и </w:t>
      </w:r>
      <w:hyperlink r:id="rId12" w:history="1">
        <w:r>
          <w:rPr>
            <w:color w:val="0000FF"/>
          </w:rPr>
          <w:t>27</w:t>
        </w:r>
      </w:hyperlink>
      <w:r>
        <w:t xml:space="preserve"> Федерального закона "О </w:t>
      </w:r>
      <w:proofErr w:type="spellStart"/>
      <w:r>
        <w:t>накопительно</w:t>
      </w:r>
      <w:proofErr w:type="spellEnd"/>
      <w:r>
        <w:t>-ипотечной системе жилищного обеспечения военнослужащих" Правительство Российской Федерации постановляет: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t xml:space="preserve">1. Установить следующие дополнительные ограничения на инвестирование накоплений для жилищного обеспечения военнослужащих, переданных федеральным органом исполнительной власти, обеспечивающим функционирование </w:t>
      </w:r>
      <w:proofErr w:type="spellStart"/>
      <w:r>
        <w:t>накопительно</w:t>
      </w:r>
      <w:proofErr w:type="spellEnd"/>
      <w:r>
        <w:t>-ипотечной системы жилищного обеспечения военнослужащих, в доверительное управление управляющим компаниям: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t xml:space="preserve">а) накопления для жилищного обеспечения военнослужащих могут быть размещены в ценные бумаги, указанные в </w:t>
      </w:r>
      <w:hyperlink r:id="rId13" w:history="1">
        <w:r>
          <w:rPr>
            <w:color w:val="0000FF"/>
          </w:rPr>
          <w:t>пунктах 2</w:t>
        </w:r>
      </w:hyperlink>
      <w:r>
        <w:t xml:space="preserve"> - </w:t>
      </w:r>
      <w:hyperlink r:id="rId14" w:history="1">
        <w:r>
          <w:rPr>
            <w:color w:val="0000FF"/>
          </w:rPr>
          <w:t>5 части 1 статьи 16</w:t>
        </w:r>
      </w:hyperlink>
      <w:r>
        <w:t xml:space="preserve"> Федерального закона "О </w:t>
      </w:r>
      <w:proofErr w:type="spellStart"/>
      <w:r>
        <w:t>накопительно</w:t>
      </w:r>
      <w:proofErr w:type="spellEnd"/>
      <w:r>
        <w:t>-ипотечной системе жилищного обеспечения военнослужащих", при соблюдении одного из следующих условий:</w:t>
      </w:r>
    </w:p>
    <w:p w:rsidR="00CD0B5B" w:rsidRDefault="00CD0B5B">
      <w:pPr>
        <w:pStyle w:val="ConsPlusNormal"/>
        <w:spacing w:before="220"/>
        <w:ind w:firstLine="540"/>
        <w:jc w:val="both"/>
      </w:pPr>
      <w:bookmarkStart w:id="0" w:name="P19"/>
      <w:bookmarkEnd w:id="0"/>
      <w:r>
        <w:t>ценные бумаги включены в котировальный список высшего уровня, то есть в котировальный список биржи, для включения в который в соответствии с законодательством Российской Федерации установлены максимальные требования;</w:t>
      </w:r>
    </w:p>
    <w:p w:rsidR="00CD0B5B" w:rsidRDefault="00CD0B5B">
      <w:pPr>
        <w:pStyle w:val="ConsPlusNormal"/>
        <w:spacing w:before="220"/>
        <w:ind w:firstLine="540"/>
        <w:jc w:val="both"/>
      </w:pPr>
      <w:bookmarkStart w:id="1" w:name="P20"/>
      <w:bookmarkEnd w:id="1"/>
      <w:r>
        <w:t xml:space="preserve">ценные бумаги включены в котировальный список хотя бы одной биржи и среднемесячный объем сделок с указанными бумагами на этой бирже </w:t>
      </w:r>
      <w:proofErr w:type="gramStart"/>
      <w:r>
        <w:t>за</w:t>
      </w:r>
      <w:proofErr w:type="gramEnd"/>
      <w:r>
        <w:t xml:space="preserve"> последние 3 месяца составляет не менее 100 млн. рублей.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t xml:space="preserve">Условия, указанные в </w:t>
      </w:r>
      <w:hyperlink w:anchor="P19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20" w:history="1">
        <w:r>
          <w:rPr>
            <w:color w:val="0000FF"/>
          </w:rPr>
          <w:t>третьем</w:t>
        </w:r>
      </w:hyperlink>
      <w:r>
        <w:t xml:space="preserve"> настоящего подпункта, не распространяются на ценные бумаги, указанные в </w:t>
      </w:r>
      <w:hyperlink r:id="rId15" w:history="1">
        <w:r>
          <w:rPr>
            <w:color w:val="0000FF"/>
          </w:rPr>
          <w:t>пункте 5 части 1 статьи 16</w:t>
        </w:r>
      </w:hyperlink>
      <w:r>
        <w:t xml:space="preserve"> Федерального закона "О </w:t>
      </w:r>
      <w:proofErr w:type="spellStart"/>
      <w:r>
        <w:t>накопительно</w:t>
      </w:r>
      <w:proofErr w:type="spellEnd"/>
      <w:r>
        <w:t>-ипотечной системе жилищного обеспечения военнослужащих", за исключением облигаций с ипотечным покрытием.</w:t>
      </w:r>
    </w:p>
    <w:p w:rsidR="00CD0B5B" w:rsidRDefault="00CD0B5B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ранее приобретенные ценные бумаги перестали удовлетворять условию в отношении среднемесячного объема сделок с ценными бумагами, указанными в </w:t>
      </w:r>
      <w:hyperlink r:id="rId16" w:history="1">
        <w:r>
          <w:rPr>
            <w:color w:val="0000FF"/>
          </w:rPr>
          <w:t>пунктах 2</w:t>
        </w:r>
      </w:hyperlink>
      <w:r>
        <w:t xml:space="preserve"> - </w:t>
      </w:r>
      <w:hyperlink r:id="rId17" w:history="1">
        <w:r>
          <w:rPr>
            <w:color w:val="0000FF"/>
          </w:rPr>
          <w:t>5 части 1 статьи 16</w:t>
        </w:r>
      </w:hyperlink>
      <w:r>
        <w:t xml:space="preserve"> Федерального закона "О </w:t>
      </w:r>
      <w:proofErr w:type="spellStart"/>
      <w:r>
        <w:t>накопительно</w:t>
      </w:r>
      <w:proofErr w:type="spellEnd"/>
      <w:r>
        <w:t>-ипотечной системе жилищного обеспечения военнослужащих", на бирже за последние 3 месяца в размере не менее 100 млн. рублей, такие ценные бумаги могут удерживаться до продажи или погашения;</w:t>
      </w:r>
      <w:proofErr w:type="gramEnd"/>
    </w:p>
    <w:p w:rsidR="00CD0B5B" w:rsidRDefault="00CD0B5B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17.03.2015 N 233)</w:t>
      </w:r>
    </w:p>
    <w:p w:rsidR="00CD0B5B" w:rsidRDefault="00CD0B5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04.04.2014 N 264)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t xml:space="preserve">б) накопления для жилищного обеспечения военнослужащих могут быть размещены в ценные бумаги, указанные в </w:t>
      </w:r>
      <w:hyperlink r:id="rId20" w:history="1">
        <w:r>
          <w:rPr>
            <w:color w:val="0000FF"/>
          </w:rPr>
          <w:t>пунктах 2</w:t>
        </w:r>
      </w:hyperlink>
      <w:r>
        <w:t xml:space="preserve"> и </w:t>
      </w:r>
      <w:hyperlink r:id="rId21" w:history="1">
        <w:r>
          <w:rPr>
            <w:color w:val="0000FF"/>
          </w:rPr>
          <w:t>3 части 1 статьи 16</w:t>
        </w:r>
      </w:hyperlink>
      <w:r>
        <w:t xml:space="preserve"> Федерального закона "О </w:t>
      </w:r>
      <w:proofErr w:type="spellStart"/>
      <w:r>
        <w:t>накопительно</w:t>
      </w:r>
      <w:proofErr w:type="spellEnd"/>
      <w:r>
        <w:t xml:space="preserve">-ипотечной системе жилищного обеспечения военнослужащих", если они </w:t>
      </w:r>
      <w:r>
        <w:lastRenderedPageBreak/>
        <w:t>соответствуют хотя бы одному из следующих критериев: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t>срок погашения указанных ценных бумаг не наступил;</w:t>
      </w:r>
    </w:p>
    <w:p w:rsidR="00CD0B5B" w:rsidRDefault="00CD0B5B">
      <w:pPr>
        <w:pStyle w:val="ConsPlusNormal"/>
        <w:spacing w:before="220"/>
        <w:ind w:firstLine="540"/>
        <w:jc w:val="both"/>
      </w:pPr>
      <w:bookmarkStart w:id="2" w:name="P27"/>
      <w:bookmarkEnd w:id="2"/>
      <w:r>
        <w:t>эмитенту (выпуску) облигаций, за исключением облигаций с ипотечным покрытием, присвоен рейтинг долгосрочной кредитоспособности по обязательствам в валюте Российской Федерации или иностранной валюте рейтинговыми агентствами "</w:t>
      </w:r>
      <w:proofErr w:type="spellStart"/>
      <w:r>
        <w:t>Фитч</w:t>
      </w:r>
      <w:proofErr w:type="spellEnd"/>
      <w:r>
        <w:t xml:space="preserve"> </w:t>
      </w:r>
      <w:proofErr w:type="spellStart"/>
      <w:r>
        <w:t>Рейтингс</w:t>
      </w:r>
      <w:proofErr w:type="spellEnd"/>
      <w:r>
        <w:t>" (</w:t>
      </w:r>
      <w:proofErr w:type="spellStart"/>
      <w:r>
        <w:t>Fitch-Ratings</w:t>
      </w:r>
      <w:proofErr w:type="spellEnd"/>
      <w:r>
        <w:t xml:space="preserve">), "Стандарт энд </w:t>
      </w:r>
      <w:proofErr w:type="spellStart"/>
      <w:r>
        <w:t>Пурс</w:t>
      </w:r>
      <w:proofErr w:type="spellEnd"/>
      <w:r>
        <w:t>" (</w:t>
      </w:r>
      <w:proofErr w:type="spellStart"/>
      <w:r>
        <w:t>Standard</w:t>
      </w:r>
      <w:proofErr w:type="spellEnd"/>
      <w:r>
        <w:t xml:space="preserve"> &amp; </w:t>
      </w:r>
      <w:proofErr w:type="spellStart"/>
      <w:r>
        <w:t>Poor's</w:t>
      </w:r>
      <w:proofErr w:type="spellEnd"/>
      <w:r>
        <w:t>), "</w:t>
      </w:r>
      <w:proofErr w:type="spellStart"/>
      <w:r>
        <w:t>Мудис</w:t>
      </w:r>
      <w:proofErr w:type="spellEnd"/>
      <w:r>
        <w:t xml:space="preserve"> </w:t>
      </w:r>
      <w:proofErr w:type="spellStart"/>
      <w:r>
        <w:t>Инвесторс</w:t>
      </w:r>
      <w:proofErr w:type="spellEnd"/>
      <w:r>
        <w:t xml:space="preserve"> Сервис" (</w:t>
      </w:r>
      <w:proofErr w:type="spellStart"/>
      <w:r>
        <w:t>Moody's</w:t>
      </w:r>
      <w:proofErr w:type="spellEnd"/>
      <w:r>
        <w:t xml:space="preserve"> </w:t>
      </w:r>
      <w:proofErr w:type="spellStart"/>
      <w:r>
        <w:t>Investors</w:t>
      </w:r>
      <w:proofErr w:type="spellEnd"/>
      <w:r>
        <w:t xml:space="preserve"> </w:t>
      </w:r>
      <w:proofErr w:type="spellStart"/>
      <w:r>
        <w:t>Service</w:t>
      </w:r>
      <w:proofErr w:type="spellEnd"/>
      <w:r>
        <w:t>). Указанные рейтинги должны быть не ниже суверенного рейтинга Российской Федерации по обязательствам в валюте Российской Федерации или иностранной валюте;</w:t>
      </w:r>
    </w:p>
    <w:p w:rsidR="00CD0B5B" w:rsidRDefault="00CD0B5B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26.12.2014 N 1496)</w:t>
      </w:r>
    </w:p>
    <w:p w:rsidR="00CD0B5B" w:rsidRDefault="00CD0B5B">
      <w:pPr>
        <w:pStyle w:val="ConsPlusNormal"/>
        <w:spacing w:before="220"/>
        <w:ind w:firstLine="540"/>
        <w:jc w:val="both"/>
      </w:pPr>
      <w:proofErr w:type="gramStart"/>
      <w:r>
        <w:t>исполнение обязательств по выплате номинальной стоимости облигаций либо номинальной стоимости облигаций и частично или полностью купонного дохода по ним обеспечено государственной гарантией Российской Федерации;</w:t>
      </w:r>
      <w:proofErr w:type="gramEnd"/>
    </w:p>
    <w:p w:rsidR="00CD0B5B" w:rsidRDefault="00CD0B5B">
      <w:pPr>
        <w:pStyle w:val="ConsPlusNormal"/>
        <w:spacing w:before="220"/>
        <w:ind w:firstLine="540"/>
        <w:jc w:val="both"/>
      </w:pPr>
      <w:r>
        <w:t>эмитент ценной бумаги, являющийся кредитной организацией, имеет собственные средства (капитал) в размере не менее 10 млрд. рублей, рассчитываемом по методике Центрального банка Российской Федерации, по состоянию на последнюю отчетную дату;</w:t>
      </w:r>
    </w:p>
    <w:p w:rsidR="00CD0B5B" w:rsidRDefault="00CD0B5B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26.12.2014 N 1496)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t xml:space="preserve">в) накопления для жилищного обеспечения военнослужащих могут быть размещены в ценные бумаги, указанные в </w:t>
      </w:r>
      <w:hyperlink r:id="rId24" w:history="1">
        <w:r>
          <w:rPr>
            <w:color w:val="0000FF"/>
          </w:rPr>
          <w:t>пункте 5 части 1 статьи 16</w:t>
        </w:r>
      </w:hyperlink>
      <w:r>
        <w:t xml:space="preserve"> Федерального закона "О </w:t>
      </w:r>
      <w:proofErr w:type="spellStart"/>
      <w:r>
        <w:t>накопительно</w:t>
      </w:r>
      <w:proofErr w:type="spellEnd"/>
      <w:r>
        <w:t>-ипотечной системе жилищного обеспечения военнослужащих", если они соответствуют следующим критериям: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t>ипотечные сертификаты участия включены в котировальный список хотя бы одной биржи;</w:t>
      </w:r>
    </w:p>
    <w:p w:rsidR="00CD0B5B" w:rsidRDefault="00CD0B5B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04.04.2014 N 264)</w:t>
      </w:r>
    </w:p>
    <w:p w:rsidR="00CD0B5B" w:rsidRDefault="00CD0B5B">
      <w:pPr>
        <w:pStyle w:val="ConsPlusNormal"/>
        <w:spacing w:before="220"/>
        <w:ind w:firstLine="540"/>
        <w:jc w:val="both"/>
      </w:pPr>
      <w:bookmarkStart w:id="3" w:name="P35"/>
      <w:bookmarkEnd w:id="3"/>
      <w:proofErr w:type="gramStart"/>
      <w:r>
        <w:t xml:space="preserve">эмитенту (выпуску) ипотечных ценных бумаг присвоен рейтинг долгосрочной кредитоспособности по обязательствам в валюте Российской Федерации или иностранной валюте рейтинговыми агентствами, предусмотренными </w:t>
      </w:r>
      <w:hyperlink w:anchor="P27" w:history="1">
        <w:r>
          <w:rPr>
            <w:color w:val="0000FF"/>
          </w:rPr>
          <w:t>абзацем третьим подпункта "б"</w:t>
        </w:r>
      </w:hyperlink>
      <w:r>
        <w:t xml:space="preserve"> настоящего пункта, не ниже суверенного рейтинга Российской Федерации по обязательствам в валюте Российской Федерации или иностранной валюте либо исполнение обязательств перед держателями облигаций с ипотечным покрытием по выплате номинальной стоимости облигаций либо номинальной стоимости облигаций</w:t>
      </w:r>
      <w:proofErr w:type="gramEnd"/>
      <w:r>
        <w:t xml:space="preserve"> </w:t>
      </w:r>
      <w:proofErr w:type="gramStart"/>
      <w:r>
        <w:t>и частично или полностью купонного дохода по ним обеспечено солидарным поручительством юридического лица, которому присвоен рейтинг долгосрочной кредитоспособности по обязательствам в валюте Российской Федерации или иностранной валюте одним из аккредитованных в установленном порядке рейтинговых агентств на уровне не ниже суверенного рейтинга Российской Федерации по обязательствам в валюте Российской Федерации или иностранной валюте;</w:t>
      </w:r>
      <w:proofErr w:type="gramEnd"/>
    </w:p>
    <w:p w:rsidR="00CD0B5B" w:rsidRDefault="00CD0B5B">
      <w:pPr>
        <w:pStyle w:val="ConsPlusNormal"/>
        <w:spacing w:before="220"/>
        <w:ind w:firstLine="540"/>
        <w:jc w:val="both"/>
      </w:pPr>
      <w:r>
        <w:t xml:space="preserve">в состав ипотечного покрытия ипотечных ценных бумаг, выпущенных в соответствии с </w:t>
      </w:r>
      <w:hyperlink r:id="rId2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не входят объекты незавершенного строительства;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t>г) накопления для жилищного обеспечения военнослужащих могут быть размещены в инвестиционные паи паевых инвестиционных фондов при условии, что они не ограничены в обороте, а также при соблюдении следующих условий: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t>управляющая компания, осуществляющая инвестирование накоплений для жилищного обеспечения военнослужащих в инвестиционные паи паевого инвестиционного фонда, не является аффилированным лицом управляющей компании указанного фонда;</w:t>
      </w:r>
    </w:p>
    <w:p w:rsidR="00CD0B5B" w:rsidRDefault="00CD0B5B">
      <w:pPr>
        <w:pStyle w:val="ConsPlusNormal"/>
        <w:spacing w:before="220"/>
        <w:ind w:firstLine="540"/>
        <w:jc w:val="both"/>
      </w:pPr>
      <w:proofErr w:type="gramStart"/>
      <w:r>
        <w:t>с даты завершения</w:t>
      </w:r>
      <w:proofErr w:type="gramEnd"/>
      <w:r>
        <w:t xml:space="preserve"> (окончания) формирования открытого или интервального паевого инвестиционного фонда, в инвестиционные паи которого инвестируются накопления для жилищного обеспечения военнослужащих, прошло не менее 3 лет;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lastRenderedPageBreak/>
        <w:t>стоимость чистых активов паевого инвестиционного фонда на момент приобретения составляет: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t>не менее 20 млн. рублей, если паевой инвестиционный фонд является открытым или биржевым паевым инвестиционным фондом;</w:t>
      </w:r>
    </w:p>
    <w:p w:rsidR="00CD0B5B" w:rsidRDefault="00CD0B5B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04.04.2014 N 264)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t>не менее 35 млн. рублей, если паевой инвестиционный фонд является интервальным паевым инвестиционным фондом;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t>не менее 300 млн. рублей, если паевой инвестиционный фонд является закрытым паевым инвестиционным фондом;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t>инвестиционная декларация закрытого паевого инвестиционного фонда предусматривает инвестиции в недвижимое имущество или в обеспеченные ипотекой требования по кредитным договорам (договорам займа);</w:t>
      </w:r>
    </w:p>
    <w:p w:rsidR="00CD0B5B" w:rsidRDefault="00CD0B5B">
      <w:pPr>
        <w:pStyle w:val="ConsPlusNormal"/>
        <w:spacing w:before="220"/>
        <w:ind w:firstLine="540"/>
        <w:jc w:val="both"/>
      </w:pPr>
      <w:bookmarkStart w:id="4" w:name="P46"/>
      <w:bookmarkEnd w:id="4"/>
      <w:r>
        <w:t xml:space="preserve">д) сделки, связанные с инвестированием накоплений для жилищного обеспечения военнослужащих в ценные бумаги, совершаются на организованных </w:t>
      </w:r>
      <w:proofErr w:type="gramStart"/>
      <w:r>
        <w:t>торгах</w:t>
      </w:r>
      <w:proofErr w:type="gramEnd"/>
      <w:r>
        <w:t xml:space="preserve"> на условиях поставки против платежа и на основе заявок на покупку и заявок на продажу ценных бумаг по наилучшим из указанных в них ценам при условии, что заявки адресованы всем участникам торгов и информация, позволяющая идентифицировать подавших заявки участников торгов, не раскрывается в ходе торгов другим участникам, за исключением следующих сделок:</w:t>
      </w:r>
    </w:p>
    <w:p w:rsidR="00CD0B5B" w:rsidRDefault="00CD0B5B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04.04.2014 N 264)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t>сделки, связанные с инвестированием накоплений для жилищного обеспечения военнослужащих в государственные ценные бумаги Российской Федерации в ходе их размещения, которые совершаются на организованных торгах на условиях поставки против платежа и при условии обращения государственных ценных бумаг Российской Федерации того же выпуска на рынке ценных бумаг;</w:t>
      </w:r>
    </w:p>
    <w:p w:rsidR="00CD0B5B" w:rsidRDefault="00CD0B5B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04.04.2014 N 264)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t>сделки, связанные с инвестированием накоплений для жилищного обеспечения военнослужащих в государственные ценные бумаги Российской Федерации, специально выпущенные для размещения средств институциональных инвесторов, которые совершаются в порядке, определенном условиями эмиссии и обращения указанных ценных бумаг;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t xml:space="preserve">сделки, связанные с выкупом акций обществом по требованию его акционеров в порядке, который предусмотрен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"Об акционерных обществах";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t xml:space="preserve">сделки по продаже ценных бумаг в случае принятия добровольного или обязательного предложения об их приобретении, адресованного всем владельцам этих ценных бумаг, в соответствии с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"Об акционерных обществах";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t xml:space="preserve">сделки по отчуждению ценных бумаг, не допущенных к организованным торгам, в связи с несоответствием указанных ценных бумаг требованиям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"О </w:t>
      </w:r>
      <w:proofErr w:type="spellStart"/>
      <w:r>
        <w:t>накопительно</w:t>
      </w:r>
      <w:proofErr w:type="spellEnd"/>
      <w:r>
        <w:t>-ипотечной системе жилищного обеспечения военнослужащих" и настоящего Постановления;</w:t>
      </w:r>
    </w:p>
    <w:p w:rsidR="00CD0B5B" w:rsidRDefault="00CD0B5B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04.04.2014 N 264)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t xml:space="preserve">предъявление облигаций к досрочному погашению в порядке и на условиях, которые предусмотрены федеральными </w:t>
      </w:r>
      <w:hyperlink r:id="rId34" w:history="1">
        <w:r>
          <w:rPr>
            <w:color w:val="0000FF"/>
          </w:rPr>
          <w:t>законами</w:t>
        </w:r>
      </w:hyperlink>
      <w:r>
        <w:t xml:space="preserve"> и (или) решением о выпуске облигаций (условиями эмиссии и обращения государственных и муниципальных облигаций);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t>сделки по приобретению инвестиционных паев паевых инвестиционных фондов при их выдаче, а также по обмену и погашению инвестиционных паев паевых инвестиционных фондов;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lastRenderedPageBreak/>
        <w:t>сделки по приобретению депозитных сертификатов, а также по отчуждению и погашению депозитных сертификатов;</w:t>
      </w:r>
    </w:p>
    <w:p w:rsidR="00CD0B5B" w:rsidRDefault="00CD0B5B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04.04.2014 N 264)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t xml:space="preserve">сделки, связанные с инвестированием накоплений для жилищного обеспечения военнослужащих в закладные, залогодателями по которым являются участники </w:t>
      </w:r>
      <w:proofErr w:type="spellStart"/>
      <w:r>
        <w:t>накопительно</w:t>
      </w:r>
      <w:proofErr w:type="spellEnd"/>
      <w:r>
        <w:t>-ипотечной системы жилищного обеспечения военнослужащих;</w:t>
      </w:r>
    </w:p>
    <w:p w:rsidR="00CD0B5B" w:rsidRDefault="00CD0B5B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04.04.2014 N 264)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t xml:space="preserve">е) сделки, связанные с инвестированием накоплений для жилищного обеспечения военнослужащих в облигации внешних облигационных займов Российской Федерации, могут </w:t>
      </w:r>
      <w:bookmarkStart w:id="5" w:name="_GoBack"/>
      <w:r>
        <w:t xml:space="preserve">совершаться без соблюдения требований, предусмотренных </w:t>
      </w:r>
      <w:hyperlink w:anchor="P46" w:history="1">
        <w:r>
          <w:rPr>
            <w:color w:val="0000FF"/>
          </w:rPr>
          <w:t>подпунктом "д"</w:t>
        </w:r>
      </w:hyperlink>
      <w:r>
        <w:t xml:space="preserve"> настоящего пункта, при соблюдении следующих условий: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t>расчеты по сделкам осуществляются через расчетно-клиринговые центры;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t>расчеты по сделкам осуществляются на условиях поставки против платежа или предоплаты (</w:t>
      </w:r>
      <w:proofErr w:type="spellStart"/>
      <w:r>
        <w:t>предпоставки</w:t>
      </w:r>
      <w:proofErr w:type="spellEnd"/>
      <w:r>
        <w:t>) со стороны контрагента;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t>цена сделки: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t xml:space="preserve">по покупке облигаций не выше их последней рыночной цены, определенной в порядке, </w:t>
      </w:r>
      <w:bookmarkEnd w:id="5"/>
      <w:r>
        <w:t xml:space="preserve">установленном </w:t>
      </w:r>
      <w:hyperlink r:id="rId37" w:history="1">
        <w:r>
          <w:rPr>
            <w:color w:val="0000FF"/>
          </w:rPr>
          <w:t>пунктом 7 части 2 статьи 20</w:t>
        </w:r>
      </w:hyperlink>
      <w:r>
        <w:t xml:space="preserve"> Федерального закона "О </w:t>
      </w:r>
      <w:proofErr w:type="spellStart"/>
      <w:r>
        <w:t>накопительно</w:t>
      </w:r>
      <w:proofErr w:type="spellEnd"/>
      <w:r>
        <w:t>-ипотечной системе жилищного обеспечения военнослужащих", к моменту совершения сделки более чем на 1,5 процента;</w:t>
      </w:r>
    </w:p>
    <w:p w:rsidR="00CD0B5B" w:rsidRDefault="00CD0B5B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26.08.2013 N 739)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t xml:space="preserve">по продаже облигаций не ниже их последней рыночной цены, определенной в порядке, установленном </w:t>
      </w:r>
      <w:hyperlink r:id="rId39" w:history="1">
        <w:r>
          <w:rPr>
            <w:color w:val="0000FF"/>
          </w:rPr>
          <w:t>пунктом 7 части 2 статьи 20</w:t>
        </w:r>
      </w:hyperlink>
      <w:r>
        <w:t xml:space="preserve"> Федерального закона "О </w:t>
      </w:r>
      <w:proofErr w:type="spellStart"/>
      <w:r>
        <w:t>накопительно</w:t>
      </w:r>
      <w:proofErr w:type="spellEnd"/>
      <w:r>
        <w:t>-ипотечной системе жилищного обеспечения военнослужащих", к моменту совершения сделки более чем на 1,5 процента;</w:t>
      </w:r>
    </w:p>
    <w:p w:rsidR="00CD0B5B" w:rsidRDefault="00CD0B5B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26.08.2013 N 739)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t xml:space="preserve">ж) сделки с ценными бумагами могут совершаться с центральным контрагентом без соблюдения требований </w:t>
      </w:r>
      <w:hyperlink w:anchor="P46" w:history="1">
        <w:r>
          <w:rPr>
            <w:color w:val="0000FF"/>
          </w:rPr>
          <w:t>абзаца первого подпункта "д"</w:t>
        </w:r>
      </w:hyperlink>
      <w:r>
        <w:t xml:space="preserve"> настоящего пункта в случаях и порядке, которые предусмотрены </w:t>
      </w:r>
      <w:hyperlink r:id="rId41" w:history="1">
        <w:r>
          <w:rPr>
            <w:color w:val="0000FF"/>
          </w:rPr>
          <w:t>частью 1 статьи 13</w:t>
        </w:r>
      </w:hyperlink>
      <w:r>
        <w:t xml:space="preserve"> Федерального закона от 7 февраля 2011 г. N 7-ФЗ "О клиринге и клиринговой деятельности".</w:t>
      </w:r>
    </w:p>
    <w:p w:rsidR="00CD0B5B" w:rsidRDefault="00CD0B5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</w:t>
      </w:r>
      <w:proofErr w:type="gramStart"/>
      <w:r>
        <w:t>введен</w:t>
      </w:r>
      <w:proofErr w:type="gramEnd"/>
      <w:r>
        <w:t xml:space="preserve">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04.04.2014 N 264)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t>2. Установить, что максимальная доля отдельных классов активов в совокупном инвестиционном портфеле, сформированном за счет накоплений для жилищного обеспечения военнослужащих, составляет: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t>а) 60 процентов совокупного инвестиционного портфеля - для облигаций российских эмитентов, а также российских депозитарных расписок на облигации, за исключением государственных ценных бумаг Российской Федерации;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t>б) 30 процентов совокупного инвестиционного портфеля - для акций российских и иностранных эмитентов, а также российских депозитарных расписок на акции;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t>в) 10 процентов совокупного инвестиционного портфеля - для инвестиционных паев закрытых паевых инвестиционных фондов.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t>2(1). Установить следующие дополнительные ограничения на инвестирование накоплений для жилищного обеспечения военнослужащих в депозитные сертификаты, выпущенные кредитными организациями Российской Федерации в валюте Российской Федерации:</w:t>
      </w:r>
    </w:p>
    <w:p w:rsidR="00CD0B5B" w:rsidRDefault="00CD0B5B">
      <w:pPr>
        <w:pStyle w:val="ConsPlusNormal"/>
        <w:spacing w:before="220"/>
        <w:ind w:firstLine="540"/>
        <w:jc w:val="both"/>
      </w:pPr>
      <w:bookmarkStart w:id="6" w:name="P76"/>
      <w:bookmarkEnd w:id="6"/>
      <w:r>
        <w:lastRenderedPageBreak/>
        <w:t>а) наличие у кредитной организации генеральной лицензии Центрального банка Российской Федерации на осуществление банковских операций;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t xml:space="preserve">б) наличие у кредитной организации собственных средств (капитала) в размере не менее 10 млрд. рублей (рассчитываемом по </w:t>
      </w:r>
      <w:hyperlink r:id="rId43" w:history="1">
        <w:r>
          <w:rPr>
            <w:color w:val="0000FF"/>
          </w:rPr>
          <w:t>методике</w:t>
        </w:r>
      </w:hyperlink>
      <w:r>
        <w:t xml:space="preserve"> Центрального банка Российской Федерации) по состоянию на последнюю отчетную дату;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t xml:space="preserve">в) срок деятельности кредитной организации </w:t>
      </w:r>
      <w:proofErr w:type="gramStart"/>
      <w:r>
        <w:t>с даты</w:t>
      </w:r>
      <w:proofErr w:type="gramEnd"/>
      <w:r>
        <w:t xml:space="preserve"> ее регистрации не менее 15 лет;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t>г) наличие у кредитной организац</w:t>
      </w:r>
      <w:proofErr w:type="gramStart"/>
      <w:r>
        <w:t>ии ау</w:t>
      </w:r>
      <w:proofErr w:type="gramEnd"/>
      <w:r>
        <w:t xml:space="preserve">диторского заключения, в котором выражено </w:t>
      </w:r>
      <w:proofErr w:type="spellStart"/>
      <w:r>
        <w:t>немодифицированное</w:t>
      </w:r>
      <w:proofErr w:type="spellEnd"/>
      <w:r>
        <w:t xml:space="preserve"> мнение о достоверности ее последней годовой бухгалтерской (финансовой) отчетности;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t xml:space="preserve">д) неприменение к кредитной организации в течение последних 2 лет принудительных мер </w:t>
      </w:r>
      <w:proofErr w:type="gramStart"/>
      <w:r>
        <w:t>воздействия</w:t>
      </w:r>
      <w:proofErr w:type="gramEnd"/>
      <w:r>
        <w:t xml:space="preserve"> за нарушение установленных Центральным банком Российской Федерации обязательных нормативов деятельности банков;</w:t>
      </w:r>
    </w:p>
    <w:p w:rsidR="00CD0B5B" w:rsidRDefault="00CD0B5B">
      <w:pPr>
        <w:pStyle w:val="ConsPlusNormal"/>
        <w:spacing w:before="220"/>
        <w:ind w:firstLine="540"/>
        <w:jc w:val="both"/>
      </w:pPr>
      <w:bookmarkStart w:id="7" w:name="P81"/>
      <w:bookmarkEnd w:id="7"/>
      <w:r>
        <w:t>е) отсутствие у кредитной организации в течение последних 2 лет просроченных денежных обязательств по операциям с Центральным банком Российской Федерации, в том числе по кредитам Центрального банка Российской Федерации и процентам по ним;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t xml:space="preserve">ж) размер процентной ставки по депозитному сертификату (на дату заключения договора банковского вклада) в процентах годовых не менее размера доходности к погашению по выпуску государственных ценных бумаг Российской Федерации, номинированных в валюте Российской Федерации, с датой погашения, ближайшей к дате окончания срока обращения депозитного сертификата. </w:t>
      </w:r>
      <w:proofErr w:type="gramStart"/>
      <w:r>
        <w:t>В случае если в дату, ближайшую к дате окончания срока обращения депозитного сертификата, погашается несколько выпусков государственных ценных бумаг Российской Федерации, номинированных в валюте Российской Федерации, размер процентной ставки по депозитному сертификату не может быть менее размера максимальной доходности к погашению по одному из указанных выпусков государственных ценных бумаг, погашаемых в эту дату;</w:t>
      </w:r>
      <w:proofErr w:type="gramEnd"/>
    </w:p>
    <w:p w:rsidR="00CD0B5B" w:rsidRDefault="00CD0B5B">
      <w:pPr>
        <w:pStyle w:val="ConsPlusNormal"/>
        <w:spacing w:before="220"/>
        <w:ind w:firstLine="540"/>
        <w:jc w:val="both"/>
      </w:pPr>
      <w:proofErr w:type="gramStart"/>
      <w:r>
        <w:t>з) наличие в депозитном сертификате условия, в соответствии с которым в случае досрочного предъявления депозитного сертификата к оплате в связи с тем, что кредитная организация перестала удовлетворять требованиям, предусмотренным настоящим постановлением, кредитная организация по требованию управляющей компании возвращает ей сумму вклада, удостоверенного депозитным сертификатом, и проценты по нему, начисленные исходя из процентной ставки, определенной в депозитном сертификате;</w:t>
      </w:r>
      <w:proofErr w:type="gramEnd"/>
    </w:p>
    <w:p w:rsidR="00CD0B5B" w:rsidRDefault="00CD0B5B">
      <w:pPr>
        <w:pStyle w:val="ConsPlusNormal"/>
        <w:spacing w:before="220"/>
        <w:ind w:firstLine="540"/>
        <w:jc w:val="both"/>
      </w:pPr>
      <w:r>
        <w:t>и) наличие письменного согласия кредитной организации на предоставление информации о соблюдении этой кредитной организацией ограничений, установленных настоящим постановлением;</w:t>
      </w:r>
    </w:p>
    <w:p w:rsidR="00CD0B5B" w:rsidRDefault="00CD0B5B">
      <w:pPr>
        <w:pStyle w:val="ConsPlusNormal"/>
        <w:spacing w:before="220"/>
        <w:ind w:firstLine="540"/>
        <w:jc w:val="both"/>
      </w:pPr>
      <w:bookmarkStart w:id="8" w:name="P85"/>
      <w:bookmarkEnd w:id="8"/>
      <w:r>
        <w:t>к) отсутствие запрета Центрального банка Российской Федерации в отношении кредитной организации на осуществление отдельных банковских операций и (или) отсутствие установленных Центральным банком Российской Федерации ограничений на величину процентной ставки, которую кредитная организация определяет в договорах банковского вклада;</w:t>
      </w:r>
    </w:p>
    <w:p w:rsidR="00CD0B5B" w:rsidRDefault="00CD0B5B">
      <w:pPr>
        <w:pStyle w:val="ConsPlusNormal"/>
        <w:spacing w:before="220"/>
        <w:ind w:firstLine="540"/>
        <w:jc w:val="both"/>
      </w:pPr>
      <w:bookmarkStart w:id="9" w:name="P86"/>
      <w:bookmarkEnd w:id="9"/>
      <w:r>
        <w:t xml:space="preserve">л) неприменение в отношении кредитной организации мер по предупреждению банкротства в соответствии с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"О несостоятельности (банкротстве)";</w:t>
      </w:r>
    </w:p>
    <w:p w:rsidR="00CD0B5B" w:rsidRDefault="00CD0B5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22.04.2015 N 384)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t xml:space="preserve">м) проверка кредитных организаций на соответствие требованиям, предусмотренным </w:t>
      </w:r>
      <w:hyperlink w:anchor="P76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81" w:history="1">
        <w:r>
          <w:rPr>
            <w:color w:val="0000FF"/>
          </w:rPr>
          <w:t>"е"</w:t>
        </w:r>
      </w:hyperlink>
      <w:r>
        <w:t xml:space="preserve">, </w:t>
      </w:r>
      <w:hyperlink w:anchor="P85" w:history="1">
        <w:r>
          <w:rPr>
            <w:color w:val="0000FF"/>
          </w:rPr>
          <w:t>"к"</w:t>
        </w:r>
      </w:hyperlink>
      <w:r>
        <w:t xml:space="preserve"> и </w:t>
      </w:r>
      <w:hyperlink w:anchor="P86" w:history="1">
        <w:r>
          <w:rPr>
            <w:color w:val="0000FF"/>
          </w:rPr>
          <w:t>"л" пункта 2(1)</w:t>
        </w:r>
      </w:hyperlink>
      <w:r>
        <w:t>, осуществляется путем сопоставления информации о кредитной организации с соответствующей информацией о кредитных организациях, формируемой и размещаемой Центральным банком Российской Федерации на его официальном сайте в информационно-телекоммуникационной сети "Интернет";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lastRenderedPageBreak/>
        <w:t xml:space="preserve">н) максимальная доля в совокупном инвестиционном портфеле депозитных сертификатов, выпущенных одной кредитной организацией Российской Федерации в валюте Российской Федерации, не должна превышать 10 процентов размера собственных средств (капитала) указанной кредитной организации (рассчитываемого по </w:t>
      </w:r>
      <w:hyperlink r:id="rId46" w:history="1">
        <w:r>
          <w:rPr>
            <w:color w:val="0000FF"/>
          </w:rPr>
          <w:t>методике</w:t>
        </w:r>
      </w:hyperlink>
      <w:r>
        <w:t xml:space="preserve"> Центрального банка Российской Федерации) по состоянию на последнюю отчетную дату.</w:t>
      </w:r>
    </w:p>
    <w:p w:rsidR="00CD0B5B" w:rsidRDefault="00CD0B5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"н" </w:t>
      </w:r>
      <w:proofErr w:type="gramStart"/>
      <w:r>
        <w:t>введен</w:t>
      </w:r>
      <w:proofErr w:type="gramEnd"/>
      <w:r>
        <w:t xml:space="preserve">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17.03.2015 N 233)</w:t>
      </w:r>
    </w:p>
    <w:p w:rsidR="00CD0B5B" w:rsidRDefault="00CD0B5B">
      <w:pPr>
        <w:pStyle w:val="ConsPlusNormal"/>
        <w:jc w:val="both"/>
      </w:pPr>
      <w:r>
        <w:t xml:space="preserve">(п. 2(1) </w:t>
      </w:r>
      <w:proofErr w:type="gramStart"/>
      <w:r>
        <w:t>введен</w:t>
      </w:r>
      <w:proofErr w:type="gramEnd"/>
      <w:r>
        <w:t xml:space="preserve">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04.04.2014 N 264)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t>3. Доли активов в совокупном инвестиционном портфеле управляющих компаний, осуществляющих доверительное управление накоплениями для жилищного обеспечения военнослужащих, определяются в процентах его стоимости (в рублях), рассчитанной исходя из суммы средств на счетах и депозитах в кредитных организациях и рыночной стоимости ценных бумаг, составляющих совокупный инвестиционный портфель.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t xml:space="preserve">Рыночная стоимость ценных бумаг, составляющих совокупный инвестиционный портфель управляющих компаний, осуществляющих доверительное управление накоплениями для жилищного обеспечения военнослужащих, рассчитывается в соответствии с </w:t>
      </w:r>
      <w:hyperlink r:id="rId49" w:history="1">
        <w:r>
          <w:rPr>
            <w:color w:val="0000FF"/>
          </w:rPr>
          <w:t>подпунктом 7 части 2 статьи 20</w:t>
        </w:r>
      </w:hyperlink>
      <w:r>
        <w:t xml:space="preserve"> Федерального закона "О </w:t>
      </w:r>
      <w:proofErr w:type="spellStart"/>
      <w:r>
        <w:t>накопительно</w:t>
      </w:r>
      <w:proofErr w:type="spellEnd"/>
      <w:r>
        <w:t>-ипотечной системе жилищного обеспечения военнослужащих".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t xml:space="preserve">3(1). В случае если присвоение и подтверждение рейтинга эмитента (выпуска) ценных бумаг, указанных в </w:t>
      </w:r>
      <w:hyperlink r:id="rId50" w:history="1">
        <w:r>
          <w:rPr>
            <w:color w:val="0000FF"/>
          </w:rPr>
          <w:t>подпунктах 2</w:t>
        </w:r>
      </w:hyperlink>
      <w:r>
        <w:t xml:space="preserve">, </w:t>
      </w:r>
      <w:hyperlink r:id="rId51" w:history="1">
        <w:r>
          <w:rPr>
            <w:color w:val="0000FF"/>
          </w:rPr>
          <w:t>3</w:t>
        </w:r>
      </w:hyperlink>
      <w:r>
        <w:t xml:space="preserve"> и </w:t>
      </w:r>
      <w:hyperlink r:id="rId52" w:history="1">
        <w:r>
          <w:rPr>
            <w:color w:val="0000FF"/>
          </w:rPr>
          <w:t>5 части 1 статьи 16</w:t>
        </w:r>
      </w:hyperlink>
      <w:r>
        <w:t xml:space="preserve"> Федерального закона "О </w:t>
      </w:r>
      <w:proofErr w:type="spellStart"/>
      <w:r>
        <w:t>накопительно</w:t>
      </w:r>
      <w:proofErr w:type="spellEnd"/>
      <w:r>
        <w:t>-ипотечной системе жилищного обеспечения военнослужащих", приостановлено международным рейтинговым агентством по причинам, не связанным с несоответствием критериям присвоения и подтверждения рейтинга:</w:t>
      </w:r>
    </w:p>
    <w:p w:rsidR="00CD0B5B" w:rsidRDefault="00CD0B5B">
      <w:pPr>
        <w:pStyle w:val="ConsPlusNormal"/>
        <w:spacing w:before="220"/>
        <w:ind w:firstLine="540"/>
        <w:jc w:val="both"/>
      </w:pPr>
      <w:bookmarkStart w:id="10" w:name="P95"/>
      <w:bookmarkEnd w:id="10"/>
      <w:r>
        <w:t>а) для приобретения до 1 октября 2015 г. ценных бумаг этого эмитента (выпуска) учитывается уровень рейтинга долгосрочной кредитоспособности, присвоенный эмитенту (выпуску) ценных бумаг международным рейтинговым агентством на дату приостановления присвоения и подтверждения рейтинга эмитента (выпуска) ценных бумаг;</w:t>
      </w:r>
    </w:p>
    <w:p w:rsidR="00CD0B5B" w:rsidRDefault="00CD0B5B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11.04.2015 N 348)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t xml:space="preserve">б) ранее приобретенные ценные бумаги этого эмитента (выпуска), а также ценные бумаги, приобретенные в соответствии с </w:t>
      </w:r>
      <w:hyperlink w:anchor="P95" w:history="1">
        <w:r>
          <w:rPr>
            <w:color w:val="0000FF"/>
          </w:rPr>
          <w:t>подпунктом "а"</w:t>
        </w:r>
      </w:hyperlink>
      <w:r>
        <w:t xml:space="preserve"> настоящего пункта, могут удерживаться до продажи или погашения.</w:t>
      </w:r>
    </w:p>
    <w:p w:rsidR="00CD0B5B" w:rsidRDefault="00CD0B5B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26.12.2014 N 1496)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t xml:space="preserve">3(2). В случае если присвоение и подтверждение рейтинга юридического лица, являющегося поручителем по исполнению обязательств по ипотечным ценным бумагам, указанного в </w:t>
      </w:r>
      <w:hyperlink w:anchor="P35" w:history="1">
        <w:r>
          <w:rPr>
            <w:color w:val="0000FF"/>
          </w:rPr>
          <w:t>абзаце третьем подпункта "в" пункта 1</w:t>
        </w:r>
      </w:hyperlink>
      <w:r>
        <w:t xml:space="preserve"> настоящего постановления, приостановлено международным рейтинговым агентством по причинам, не связанным с несоответствием критериям присвоения и подтверждения рейтинга:</w:t>
      </w:r>
    </w:p>
    <w:p w:rsidR="00CD0B5B" w:rsidRDefault="00CD0B5B">
      <w:pPr>
        <w:pStyle w:val="ConsPlusNormal"/>
        <w:spacing w:before="220"/>
        <w:ind w:firstLine="540"/>
        <w:jc w:val="both"/>
      </w:pPr>
      <w:bookmarkStart w:id="11" w:name="P100"/>
      <w:bookmarkEnd w:id="11"/>
      <w:proofErr w:type="gramStart"/>
      <w:r>
        <w:t xml:space="preserve">а) для приобретения до 1 октября 2015 г. ипотечных ценных бумаг в соответствии с </w:t>
      </w:r>
      <w:hyperlink w:anchor="P35" w:history="1">
        <w:r>
          <w:rPr>
            <w:color w:val="0000FF"/>
          </w:rPr>
          <w:t>абзацем третьим подпункта "в" пункта 1</w:t>
        </w:r>
      </w:hyperlink>
      <w:r>
        <w:t xml:space="preserve"> настоящего постановления учитывается уровень рейтинга долгосрочной кредитоспособности, присвоенный юридическому лицу, являющемуся поручителем по исполнению обязательств по ипотечным ценным бумагам, международным рейтинговым агентством на дату приостановления присвоения и подтверждения рейтинга указанного юридического лица;</w:t>
      </w:r>
      <w:proofErr w:type="gramEnd"/>
    </w:p>
    <w:p w:rsidR="00CD0B5B" w:rsidRDefault="00CD0B5B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11.04.2015 N 348)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t xml:space="preserve">б) ранее приобретенные ипотечные ценные бумаги в соответствии с </w:t>
      </w:r>
      <w:hyperlink w:anchor="P35" w:history="1">
        <w:r>
          <w:rPr>
            <w:color w:val="0000FF"/>
          </w:rPr>
          <w:t>абзацем третьим подпункта "в" пункта 1</w:t>
        </w:r>
      </w:hyperlink>
      <w:r>
        <w:t xml:space="preserve"> настоящего постановления, а также ценные бумаги, приобретенные в соответствии с </w:t>
      </w:r>
      <w:hyperlink w:anchor="P100" w:history="1">
        <w:r>
          <w:rPr>
            <w:color w:val="0000FF"/>
          </w:rPr>
          <w:t>подпунктом "а"</w:t>
        </w:r>
      </w:hyperlink>
      <w:r>
        <w:t xml:space="preserve"> настоящего пункта, могут удерживаться до продажи или погашения.</w:t>
      </w:r>
    </w:p>
    <w:p w:rsidR="00CD0B5B" w:rsidRDefault="00CD0B5B">
      <w:pPr>
        <w:pStyle w:val="ConsPlusNormal"/>
        <w:jc w:val="both"/>
      </w:pPr>
      <w:r>
        <w:lastRenderedPageBreak/>
        <w:t xml:space="preserve">(п. 3(2) </w:t>
      </w:r>
      <w:proofErr w:type="gramStart"/>
      <w:r>
        <w:t>введен</w:t>
      </w:r>
      <w:proofErr w:type="gramEnd"/>
      <w:r>
        <w:t xml:space="preserve">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26.12.2014 N 1496)</w:t>
      </w:r>
    </w:p>
    <w:p w:rsidR="00CD0B5B" w:rsidRDefault="00CD0B5B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5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мая 2005 г. N 278 "О дополнительных ограничениях на инвестирование накоплений для жилищного обеспечения военнослужащих и максимальных долях в совокупном инвестиционном портфеле отдельных классов активов" (Собрание законодательства Российской Федерации, 2005, N 19, ст. 1818).</w:t>
      </w:r>
    </w:p>
    <w:p w:rsidR="00CD0B5B" w:rsidRDefault="00CD0B5B">
      <w:pPr>
        <w:pStyle w:val="ConsPlusNormal"/>
        <w:ind w:firstLine="540"/>
        <w:jc w:val="both"/>
      </w:pPr>
    </w:p>
    <w:p w:rsidR="00CD0B5B" w:rsidRDefault="00CD0B5B">
      <w:pPr>
        <w:pStyle w:val="ConsPlusNormal"/>
        <w:jc w:val="right"/>
      </w:pPr>
      <w:r>
        <w:t>Председатель Правительства</w:t>
      </w:r>
    </w:p>
    <w:p w:rsidR="00CD0B5B" w:rsidRDefault="00CD0B5B">
      <w:pPr>
        <w:pStyle w:val="ConsPlusNormal"/>
        <w:jc w:val="right"/>
      </w:pPr>
      <w:r>
        <w:t>Российской Федерации</w:t>
      </w:r>
    </w:p>
    <w:p w:rsidR="00CD0B5B" w:rsidRDefault="00CD0B5B">
      <w:pPr>
        <w:pStyle w:val="ConsPlusNormal"/>
        <w:jc w:val="right"/>
      </w:pPr>
      <w:r>
        <w:t>В.ПУТИН</w:t>
      </w:r>
    </w:p>
    <w:p w:rsidR="00CD0B5B" w:rsidRDefault="00CD0B5B">
      <w:pPr>
        <w:pStyle w:val="ConsPlusNormal"/>
        <w:ind w:firstLine="540"/>
        <w:jc w:val="both"/>
      </w:pPr>
    </w:p>
    <w:p w:rsidR="00CD0B5B" w:rsidRDefault="00CD0B5B">
      <w:pPr>
        <w:pStyle w:val="ConsPlusNormal"/>
        <w:ind w:firstLine="540"/>
        <w:jc w:val="both"/>
      </w:pPr>
    </w:p>
    <w:p w:rsidR="00CD0B5B" w:rsidRDefault="00CD0B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68A1" w:rsidRDefault="00CD0B5B"/>
    <w:sectPr w:rsidR="003068A1" w:rsidSect="00A26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5B"/>
    <w:rsid w:val="004A7DFC"/>
    <w:rsid w:val="00AC1241"/>
    <w:rsid w:val="00CD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0B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0B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0B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0B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0B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0B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58EE9C91991A72288F4BC7B94D6C6AA13E16B1EC3D75E155F1577C23451B49C6E2B0F41FAB59FBFX6e7N" TargetMode="External"/><Relationship Id="rId18" Type="http://schemas.openxmlformats.org/officeDocument/2006/relationships/hyperlink" Target="consultantplus://offline/ref=758EE9C91991A72288F4BC7B94D6C6AA10E46C14CFD35E155F1577C23451B49C6E2B0F41FAB59EB9X6e6N" TargetMode="External"/><Relationship Id="rId26" Type="http://schemas.openxmlformats.org/officeDocument/2006/relationships/hyperlink" Target="consultantplus://offline/ref=758EE9C91991A72288F4BC7B94D6C6AA13E2631CC0D15E155F1577C234X5e1N" TargetMode="External"/><Relationship Id="rId39" Type="http://schemas.openxmlformats.org/officeDocument/2006/relationships/hyperlink" Target="consultantplus://offline/ref=758EE9C91991A72288F4BC7B94D6C6AA13E16B1EC3D75E155F1577C23451B49C6E2B0F41FAXBe1N" TargetMode="External"/><Relationship Id="rId21" Type="http://schemas.openxmlformats.org/officeDocument/2006/relationships/hyperlink" Target="consultantplus://offline/ref=758EE9C91991A72288F4BC7B94D6C6AA13E16B1EC3D75E155F1577C23451B49C6E2B0F41FAB59FBFX6e8N" TargetMode="External"/><Relationship Id="rId34" Type="http://schemas.openxmlformats.org/officeDocument/2006/relationships/hyperlink" Target="consultantplus://offline/ref=758EE9C91991A72288F4BC7B94D6C6AA13E2631CC0D15E155F1577C23451B49C6E2B0F41FAB59FB8X6e7N" TargetMode="External"/><Relationship Id="rId42" Type="http://schemas.openxmlformats.org/officeDocument/2006/relationships/hyperlink" Target="consultantplus://offline/ref=758EE9C91991A72288F4BC7B94D6C6AA10E56B18CED25E155F1577C23451B49C6E2B0F41FAB59EBBX6e4N" TargetMode="External"/><Relationship Id="rId47" Type="http://schemas.openxmlformats.org/officeDocument/2006/relationships/hyperlink" Target="consultantplus://offline/ref=758EE9C91991A72288F4BC7B94D6C6AA10E46C14CFD35E155F1577C23451B49C6E2B0F41FAB59EB9X6e8N" TargetMode="External"/><Relationship Id="rId50" Type="http://schemas.openxmlformats.org/officeDocument/2006/relationships/hyperlink" Target="consultantplus://offline/ref=758EE9C91991A72288F4BC7B94D6C6AA13E16B1EC3D75E155F1577C23451B49C6E2B0F41FAB59FBFX6e7N" TargetMode="External"/><Relationship Id="rId55" Type="http://schemas.openxmlformats.org/officeDocument/2006/relationships/hyperlink" Target="consultantplus://offline/ref=758EE9C91991A72288F4BC7B94D6C6AA13E16A1DC3D55E155F1577C23451B49C6E2B0F41FAB59EB8X6e1N" TargetMode="External"/><Relationship Id="rId7" Type="http://schemas.openxmlformats.org/officeDocument/2006/relationships/hyperlink" Target="consultantplus://offline/ref=758EE9C91991A72288F4BC7B94D6C6AA13E16A1DC3D65E155F1577C23451B49C6E2B0F41FAB59EBEX6e9N" TargetMode="External"/><Relationship Id="rId12" Type="http://schemas.openxmlformats.org/officeDocument/2006/relationships/hyperlink" Target="consultantplus://offline/ref=758EE9C91991A72288F4BC7B94D6C6AA13E16B1EC3D75E155F1577C23451B49C6E2B0F41FAB59DBFX6e8N" TargetMode="External"/><Relationship Id="rId17" Type="http://schemas.openxmlformats.org/officeDocument/2006/relationships/hyperlink" Target="consultantplus://offline/ref=758EE9C91991A72288F4BC7B94D6C6AA13E16B1EC3D75E155F1577C23451B49C6E2B0F41FAB59FBEX6e0N" TargetMode="External"/><Relationship Id="rId25" Type="http://schemas.openxmlformats.org/officeDocument/2006/relationships/hyperlink" Target="consultantplus://offline/ref=758EE9C91991A72288F4BC7B94D6C6AA10E56B18CED25E155F1577C23451B49C6E2B0F41FAB59EB8X6e5N" TargetMode="External"/><Relationship Id="rId33" Type="http://schemas.openxmlformats.org/officeDocument/2006/relationships/hyperlink" Target="consultantplus://offline/ref=758EE9C91991A72288F4BC7B94D6C6AA10E56B18CED25E155F1577C23451B49C6E2B0F41FAB59EBBX6e0N" TargetMode="External"/><Relationship Id="rId38" Type="http://schemas.openxmlformats.org/officeDocument/2006/relationships/hyperlink" Target="consultantplus://offline/ref=758EE9C91991A72288F4BC7B94D6C6AA13E16A1DC3D45E155F1577C23451B49C6E2B0F41FAB59CBBX6e8N" TargetMode="External"/><Relationship Id="rId46" Type="http://schemas.openxmlformats.org/officeDocument/2006/relationships/hyperlink" Target="consultantplus://offline/ref=758EE9C91991A72288F4BC7B94D6C6AA13E36E1CC1D45E155F1577C23451B49C6E2B0FX4e1N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58EE9C91991A72288F4BC7B94D6C6AA13E16B1EC3D75E155F1577C23451B49C6E2B0F41FAB59FBFX6e7N" TargetMode="External"/><Relationship Id="rId20" Type="http://schemas.openxmlformats.org/officeDocument/2006/relationships/hyperlink" Target="consultantplus://offline/ref=758EE9C91991A72288F4BC7B94D6C6AA13E16B1EC3D75E155F1577C23451B49C6E2B0F41FAB59FBFX6e7N" TargetMode="External"/><Relationship Id="rId29" Type="http://schemas.openxmlformats.org/officeDocument/2006/relationships/hyperlink" Target="consultantplus://offline/ref=758EE9C91991A72288F4BC7B94D6C6AA10E56B18CED25E155F1577C23451B49C6E2B0F41FAB59EB8X6e9N" TargetMode="External"/><Relationship Id="rId41" Type="http://schemas.openxmlformats.org/officeDocument/2006/relationships/hyperlink" Target="consultantplus://offline/ref=758EE9C91991A72288F4BC7B94D6C6AA13E16A19C7D35E155F1577C23451B49C6E2B0F41FAB59FBDX6e3N" TargetMode="External"/><Relationship Id="rId54" Type="http://schemas.openxmlformats.org/officeDocument/2006/relationships/hyperlink" Target="consultantplus://offline/ref=758EE9C91991A72288F4BC7B94D6C6AA13E16A1DC3D65E155F1577C23451B49C6E2B0F41FAB59EB1X6e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58EE9C91991A72288F4BC7B94D6C6AA10E56B18CED25E155F1577C23451B49C6E2B0F41FAB59EB9X6e5N" TargetMode="External"/><Relationship Id="rId11" Type="http://schemas.openxmlformats.org/officeDocument/2006/relationships/hyperlink" Target="consultantplus://offline/ref=758EE9C91991A72288F4BC7B94D6C6AA13E16B1EC3D75E155F1577C23451B49C6E2B0F41FAB59FB1X6e4N" TargetMode="External"/><Relationship Id="rId24" Type="http://schemas.openxmlformats.org/officeDocument/2006/relationships/hyperlink" Target="consultantplus://offline/ref=758EE9C91991A72288F4BC7B94D6C6AA13E16B1EC3D75E155F1577C23451B49C6E2B0F41FAB59FBEX6e0N" TargetMode="External"/><Relationship Id="rId32" Type="http://schemas.openxmlformats.org/officeDocument/2006/relationships/hyperlink" Target="consultantplus://offline/ref=758EE9C91991A72288F4BC7B94D6C6AA13E16B1EC3D75E155F1577C234X5e1N" TargetMode="External"/><Relationship Id="rId37" Type="http://schemas.openxmlformats.org/officeDocument/2006/relationships/hyperlink" Target="consultantplus://offline/ref=758EE9C91991A72288F4BC7B94D6C6AA13E16B1EC3D75E155F1577C23451B49C6E2B0F41FAXBe1N" TargetMode="External"/><Relationship Id="rId40" Type="http://schemas.openxmlformats.org/officeDocument/2006/relationships/hyperlink" Target="consultantplus://offline/ref=758EE9C91991A72288F4BC7B94D6C6AA13E16A1DC3D45E155F1577C23451B49C6E2B0F41FAB59CBBX6e8N" TargetMode="External"/><Relationship Id="rId45" Type="http://schemas.openxmlformats.org/officeDocument/2006/relationships/hyperlink" Target="consultantplus://offline/ref=758EE9C91991A72288F4BC7B94D6C6AA13E16A1DC4D85E155F1577C23451B49C6E2B0F41FAB59EB8X6e4N" TargetMode="External"/><Relationship Id="rId53" Type="http://schemas.openxmlformats.org/officeDocument/2006/relationships/hyperlink" Target="consultantplus://offline/ref=758EE9C91991A72288F4BC7B94D6C6AA13E16A1DC3D55E155F1577C23451B49C6E2B0F41FAB59EB8X6e1N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758EE9C91991A72288F4BC7B94D6C6AA13E16A1DC3D45E155F1577C23451B49C6E2B0F41FAB59CBBX6e8N" TargetMode="External"/><Relationship Id="rId15" Type="http://schemas.openxmlformats.org/officeDocument/2006/relationships/hyperlink" Target="consultantplus://offline/ref=758EE9C91991A72288F4BC7B94D6C6AA13E16B1EC3D75E155F1577C23451B49C6E2B0F41FAB59FBEX6e0N" TargetMode="External"/><Relationship Id="rId23" Type="http://schemas.openxmlformats.org/officeDocument/2006/relationships/hyperlink" Target="consultantplus://offline/ref=758EE9C91991A72288F4BC7B94D6C6AA13E16A1DC3D65E155F1577C23451B49C6E2B0F41FAB59EB1X6e2N" TargetMode="External"/><Relationship Id="rId28" Type="http://schemas.openxmlformats.org/officeDocument/2006/relationships/hyperlink" Target="consultantplus://offline/ref=758EE9C91991A72288F4BC7B94D6C6AA10E56B18CED25E155F1577C23451B49C6E2B0F41FAB59EB8X6e9N" TargetMode="External"/><Relationship Id="rId36" Type="http://schemas.openxmlformats.org/officeDocument/2006/relationships/hyperlink" Target="consultantplus://offline/ref=758EE9C91991A72288F4BC7B94D6C6AA10E56B18CED25E155F1577C23451B49C6E2B0F41FAB59EBBX6e3N" TargetMode="External"/><Relationship Id="rId49" Type="http://schemas.openxmlformats.org/officeDocument/2006/relationships/hyperlink" Target="consultantplus://offline/ref=758EE9C91991A72288F4BC7B94D6C6AA13E16B1EC3D75E155F1577C23451B49C6E2B0F41FAB59CBDX6e7N" TargetMode="External"/><Relationship Id="rId57" Type="http://schemas.openxmlformats.org/officeDocument/2006/relationships/hyperlink" Target="consultantplus://offline/ref=758EE9C91991A72288F4BC7B94D6C6AA14E0681AC5DA031F574C7BC0X3e3N" TargetMode="External"/><Relationship Id="rId10" Type="http://schemas.openxmlformats.org/officeDocument/2006/relationships/hyperlink" Target="consultantplus://offline/ref=758EE9C91991A72288F4BC7B94D6C6AA13E16A1DC4D85E155F1577C23451B49C6E2B0F41FAB59EB8X6e4N" TargetMode="External"/><Relationship Id="rId19" Type="http://schemas.openxmlformats.org/officeDocument/2006/relationships/hyperlink" Target="consultantplus://offline/ref=758EE9C91991A72288F4BC7B94D6C6AA10E56B18CED25E155F1577C23451B49C6E2B0F41FAB59EB8X6e0N" TargetMode="External"/><Relationship Id="rId31" Type="http://schemas.openxmlformats.org/officeDocument/2006/relationships/hyperlink" Target="consultantplus://offline/ref=758EE9C91991A72288F4BC7B94D6C6AA13E16B1EC5D35E155F1577C234X5e1N" TargetMode="External"/><Relationship Id="rId44" Type="http://schemas.openxmlformats.org/officeDocument/2006/relationships/hyperlink" Target="consultantplus://offline/ref=758EE9C91991A72288F4BC7B94D6C6AA13E16B19C4D95E155F1577C23451B49C6E2B0F42F3B2X9eCN" TargetMode="External"/><Relationship Id="rId52" Type="http://schemas.openxmlformats.org/officeDocument/2006/relationships/hyperlink" Target="consultantplus://offline/ref=758EE9C91991A72288F4BC7B94D6C6AA13E16B1EC3D75E155F1577C23451B49C6E2B0F41FAB59FBEX6e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8EE9C91991A72288F4BC7B94D6C6AA13E16A1DC3D55E155F1577C23451B49C6E2B0F41FAB59EB8X6e1N" TargetMode="External"/><Relationship Id="rId14" Type="http://schemas.openxmlformats.org/officeDocument/2006/relationships/hyperlink" Target="consultantplus://offline/ref=758EE9C91991A72288F4BC7B94D6C6AA13E16B1EC3D75E155F1577C23451B49C6E2B0F41FAB59FBEX6e0N" TargetMode="External"/><Relationship Id="rId22" Type="http://schemas.openxmlformats.org/officeDocument/2006/relationships/hyperlink" Target="consultantplus://offline/ref=758EE9C91991A72288F4BC7B94D6C6AA13E16A1DC3D65E155F1577C23451B49C6E2B0F41FAB59EB1X6e1N" TargetMode="External"/><Relationship Id="rId27" Type="http://schemas.openxmlformats.org/officeDocument/2006/relationships/hyperlink" Target="consultantplus://offline/ref=758EE9C91991A72288F4BC7B94D6C6AA10E56B18CED25E155F1577C23451B49C6E2B0F41FAB59EB8X6e7N" TargetMode="External"/><Relationship Id="rId30" Type="http://schemas.openxmlformats.org/officeDocument/2006/relationships/hyperlink" Target="consultantplus://offline/ref=758EE9C91991A72288F4BC7B94D6C6AA13E16B1EC5D35E155F1577C23451B49C6E2B0F41FAB598BEX6e1N" TargetMode="External"/><Relationship Id="rId35" Type="http://schemas.openxmlformats.org/officeDocument/2006/relationships/hyperlink" Target="consultantplus://offline/ref=758EE9C91991A72288F4BC7B94D6C6AA10E56B18CED25E155F1577C23451B49C6E2B0F41FAB59EBBX6e1N" TargetMode="External"/><Relationship Id="rId43" Type="http://schemas.openxmlformats.org/officeDocument/2006/relationships/hyperlink" Target="consultantplus://offline/ref=758EE9C91991A72288F4BC7B94D6C6AA13E36E1CC1D45E155F1577C234X5e1N" TargetMode="External"/><Relationship Id="rId48" Type="http://schemas.openxmlformats.org/officeDocument/2006/relationships/hyperlink" Target="consultantplus://offline/ref=758EE9C91991A72288F4BC7B94D6C6AA10E56B18CED25E155F1577C23451B49C6E2B0F41FAB59EBBX6e6N" TargetMode="External"/><Relationship Id="rId56" Type="http://schemas.openxmlformats.org/officeDocument/2006/relationships/hyperlink" Target="consultantplus://offline/ref=758EE9C91991A72288F4BC7B94D6C6AA13E16A1DC3D65E155F1577C23451B49C6E2B0F41FAB59EB1X6e8N" TargetMode="External"/><Relationship Id="rId8" Type="http://schemas.openxmlformats.org/officeDocument/2006/relationships/hyperlink" Target="consultantplus://offline/ref=758EE9C91991A72288F4BC7B94D6C6AA10E46C14CFD35E155F1577C23451B49C6E2B0F41FAB59EB9X6e5N" TargetMode="External"/><Relationship Id="rId51" Type="http://schemas.openxmlformats.org/officeDocument/2006/relationships/hyperlink" Target="consultantplus://offline/ref=758EE9C91991A72288F4BC7B94D6C6AA13E16B1EC3D75E155F1577C23451B49C6E2B0F41FAB59FBFX6e8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3960</Words>
  <Characters>22577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Шингареева</dc:creator>
  <cp:lastModifiedBy>Шингареева</cp:lastModifiedBy>
  <cp:revision>1</cp:revision>
  <dcterms:created xsi:type="dcterms:W3CDTF">2017-09-19T13:30:00Z</dcterms:created>
  <dcterms:modified xsi:type="dcterms:W3CDTF">2017-09-19T13:32:00Z</dcterms:modified>
</cp:coreProperties>
</file>